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综合评分表</w:t>
      </w: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1"/>
        <w:gridCol w:w="914"/>
        <w:gridCol w:w="6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1" w:type="dxa"/>
            <w:tcBorders>
              <w:bottom w:val="single" w:color="auto" w:sz="4" w:space="0"/>
            </w:tcBorders>
            <w:noWrap w:val="0"/>
            <w:vAlign w:val="center"/>
          </w:tcPr>
          <w:p>
            <w:pPr>
              <w:spacing w:line="28"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评分因素及权重</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分值</w:t>
            </w:r>
          </w:p>
        </w:tc>
        <w:tc>
          <w:tcPr>
            <w:tcW w:w="6368"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1" w:type="dxa"/>
            <w:tcBorders>
              <w:bottom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价格评分</w:t>
            </w:r>
          </w:p>
        </w:tc>
        <w:tc>
          <w:tcPr>
            <w:tcW w:w="914"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对招标文件做出实质性响应的所有合格投标人价格评估得分采用低价优先法计算，即通过初审且投标价格最低的投标报价为评标基准价，其投标报价得分为满分；其他投标人的投标报价得分按如下公式计算：</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投标报价得分=（评标基准价/投标报价）×价格权值；</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备注：投标报价得分四舍五入后，小数点后保留两位有效数。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331" w:type="dxa"/>
            <w:tcBorders>
              <w:top w:val="single" w:color="auto" w:sz="4" w:space="0"/>
            </w:tcBorders>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总体概述：施工程序总体设想及施工段划分</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施工工序安排是否结合工期及工程实际、科学合理。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优得 10分、良得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分、中得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分、差得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331" w:type="dxa"/>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施工进度计划和各阶</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段进度的保证措施及违约责任承诺</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工程综合进度保证措施是否齐全、有效、可行，针对工程特点及施工周期，是否有考虑内外部原因制定有特殊保障措施。</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优得 10 分、良得 </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分、中得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分、差得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2331"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劳动力和材料投入计划及其保证措施</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劳动力和材料投入配置计划是否满足工程要求，是否能充分考虑施工措施，结合所制定工期，合理安排施工设备及材料并充分考虑各种外部原因供应。</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优得6 分、良得</w:t>
            </w:r>
            <w:r>
              <w:rPr>
                <w:rFonts w:ascii="宋体" w:hAnsi="宋体" w:eastAsia="宋体" w:cs="宋体"/>
                <w:color w:val="auto"/>
                <w:sz w:val="24"/>
                <w:highlight w:val="none"/>
              </w:rPr>
              <w:t>3</w:t>
            </w:r>
            <w:r>
              <w:rPr>
                <w:rFonts w:hint="eastAsia" w:ascii="宋体" w:hAnsi="宋体" w:eastAsia="宋体" w:cs="宋体"/>
                <w:color w:val="auto"/>
                <w:sz w:val="24"/>
                <w:highlight w:val="none"/>
              </w:rPr>
              <w:t>分、中得 1</w:t>
            </w:r>
            <w:r>
              <w:rPr>
                <w:rFonts w:ascii="宋体" w:hAnsi="宋体" w:eastAsia="宋体" w:cs="宋体"/>
                <w:color w:val="auto"/>
                <w:sz w:val="24"/>
                <w:highlight w:val="none"/>
              </w:rPr>
              <w:t>.5</w:t>
            </w:r>
            <w:r>
              <w:rPr>
                <w:rFonts w:hint="eastAsia" w:ascii="宋体" w:hAnsi="宋体" w:eastAsia="宋体" w:cs="宋体"/>
                <w:color w:val="auto"/>
                <w:sz w:val="24"/>
                <w:highlight w:val="none"/>
              </w:rPr>
              <w:t xml:space="preserve"> 分、差得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机械设备投入计划及检测设备</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施工主要机具选择是否满足工程建设需要，施工机 具是否先进、性能良好。</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优得6分、良得 </w:t>
            </w:r>
            <w:r>
              <w:rPr>
                <w:rFonts w:ascii="宋体" w:hAnsi="宋体" w:eastAsia="宋体" w:cs="宋体"/>
                <w:color w:val="auto"/>
                <w:sz w:val="24"/>
                <w:highlight w:val="none"/>
              </w:rPr>
              <w:t>3</w:t>
            </w:r>
            <w:r>
              <w:rPr>
                <w:rFonts w:hint="eastAsia" w:ascii="宋体" w:hAnsi="宋体" w:eastAsia="宋体" w:cs="宋体"/>
                <w:color w:val="auto"/>
                <w:sz w:val="24"/>
                <w:highlight w:val="none"/>
              </w:rPr>
              <w:t xml:space="preserve"> 分、中得 1</w:t>
            </w:r>
            <w:r>
              <w:rPr>
                <w:rFonts w:ascii="宋体" w:hAnsi="宋体" w:eastAsia="宋体" w:cs="宋体"/>
                <w:color w:val="auto"/>
                <w:sz w:val="24"/>
                <w:highlight w:val="none"/>
              </w:rPr>
              <w:t>.5</w:t>
            </w:r>
            <w:r>
              <w:rPr>
                <w:rFonts w:hint="eastAsia" w:ascii="宋体" w:hAnsi="宋体" w:eastAsia="宋体" w:cs="宋体"/>
                <w:color w:val="auto"/>
                <w:sz w:val="24"/>
                <w:highlight w:val="none"/>
              </w:rPr>
              <w:t>分、差得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施工平面布置和临时</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设施布置</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 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平面布置是否满足项目安全文明施工的要求，平面布置布局是否合理、占地经济，符合现场条件。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优得 6 分、良得 3 分、中得 1.5分、差得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关键施工技术、工艺及工程项目实施的重点、难点和解决方案</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关键施工技术、工艺及工程项目实施的重点、难点和解决方案是否科学、合理、可行性高，作业指导书应用是否合理、措施满足要求，与主体工程衔接及与其他各方施工单位协调工作方案是否可行。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优得 9分，良得 6分、中得 3 分、差得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安全文明措施</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安全文明措施是否全面，实施方案是否可行。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优得 3 分、良得 2 分、中得 1 分、差得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质量保证与承诺</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质量管理覆盖是否全面，检验标准是否符合相关规定。</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优得 6分、良得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分、中得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分、差得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质保期及后续服务</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方案</w:t>
            </w:r>
          </w:p>
        </w:tc>
        <w:tc>
          <w:tcPr>
            <w:tcW w:w="914" w:type="dxa"/>
            <w:noWrap w:val="0"/>
            <w:vAlign w:val="center"/>
          </w:tcPr>
          <w:p>
            <w:pPr>
              <w:jc w:val="center"/>
              <w:rPr>
                <w:rFonts w:hint="eastAsia"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eastAsia="宋体" w:cs="宋体"/>
                <w:color w:val="auto"/>
                <w:sz w:val="24"/>
                <w:highlight w:val="none"/>
              </w:rPr>
              <w:t>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对比各投标人的质保期及后续服务方案，综合考虑各投标人对本项目的质保期及后续服务情况。投标人自行结合自己的实际情况阐述各自的服务方案。评委根据各投标人的相关服务方案进行酌情评分。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优得 </w:t>
            </w:r>
            <w:r>
              <w:rPr>
                <w:rFonts w:ascii="宋体" w:hAnsi="宋体" w:eastAsia="宋体" w:cs="宋体"/>
                <w:color w:val="auto"/>
                <w:sz w:val="24"/>
                <w:highlight w:val="none"/>
              </w:rPr>
              <w:t>6</w:t>
            </w:r>
            <w:r>
              <w:rPr>
                <w:rFonts w:hint="eastAsia" w:ascii="宋体" w:hAnsi="宋体" w:eastAsia="宋体" w:cs="宋体"/>
                <w:color w:val="auto"/>
                <w:sz w:val="24"/>
                <w:highlight w:val="none"/>
              </w:rPr>
              <w:t xml:space="preserve">分、良得 3 分、中得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 分、差得 0 分。</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班子人员配备</w:t>
            </w:r>
          </w:p>
        </w:tc>
        <w:tc>
          <w:tcPr>
            <w:tcW w:w="914"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提供拟派安全员1人，具有安全生产考核合格证（C类）；施工员1人、质量检查员1人，具有相应的岗位证书为满足得</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分，不齐全不得分。</w:t>
            </w:r>
            <w:r>
              <w:rPr>
                <w:rFonts w:hint="eastAsia" w:ascii="宋体" w:hAnsi="宋体" w:eastAsia="宋体" w:cs="宋体"/>
                <w:bCs/>
                <w:color w:val="auto"/>
                <w:kern w:val="0"/>
                <w:sz w:val="24"/>
                <w:highlight w:val="none"/>
              </w:rPr>
              <w:t>提供</w:t>
            </w:r>
            <w:r>
              <w:rPr>
                <w:rFonts w:hint="eastAsia" w:ascii="宋体" w:hAnsi="宋体" w:eastAsia="宋体" w:cs="宋体"/>
                <w:color w:val="auto"/>
                <w:sz w:val="24"/>
                <w:highlight w:val="none"/>
              </w:rPr>
              <w:t>复印件</w:t>
            </w:r>
            <w:r>
              <w:rPr>
                <w:rFonts w:hint="eastAsia" w:ascii="宋体" w:hAnsi="宋体" w:eastAsia="宋体" w:cs="宋体"/>
                <w:bCs/>
                <w:color w:val="auto"/>
                <w:kern w:val="0"/>
                <w:sz w:val="24"/>
                <w:highlight w:val="none"/>
                <w:lang w:val="zh-CN"/>
              </w:rPr>
              <w:t>加盖公章</w:t>
            </w:r>
            <w:r>
              <w:rPr>
                <w:rFonts w:hint="eastAsia" w:ascii="宋体" w:hAnsi="宋体" w:eastAsia="宋体" w:cs="宋体"/>
                <w:bCs/>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2331"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GB"/>
              </w:rPr>
              <w:t>业绩</w:t>
            </w:r>
          </w:p>
        </w:tc>
        <w:tc>
          <w:tcPr>
            <w:tcW w:w="91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c>
          <w:tcPr>
            <w:tcW w:w="6368"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评标委员会根据2019年至今承担过同类项目合同业绩，投标响应文件每提供一份同类业绩得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分，得至满分</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分为止。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同类业绩证明文件（提供中标通知书或项目合同关键页（显示双方名称、合同金额、盖章页等）复印件）。</w:t>
            </w:r>
          </w:p>
        </w:tc>
      </w:tr>
    </w:tbl>
    <w:p>
      <w:pPr>
        <w:jc w:val="both"/>
        <w:rPr>
          <w:rFonts w:hint="default"/>
          <w:b/>
          <w:bCs/>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E113C"/>
    <w:rsid w:val="579E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Body Text First Indent 2"/>
    <w:basedOn w:val="2"/>
    <w:next w:val="1"/>
    <w:qFormat/>
    <w:uiPriority w:val="0"/>
    <w:pPr>
      <w:ind w:firstLine="420" w:firstLineChars="200"/>
    </w:pPr>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2022-06-29T10:47:00Z</dcterms:created>
  <dc:creator>user</dc:creator>
  <cp:lastModifiedBy>user</cp:lastModifiedBy>
  <dcterms:modified xsi:type="dcterms:W3CDTF">2022-06-29T10:52:46Z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264634D9E4F44E40870699000ECD5CD5</vt:lpwstr>
  </property>
</Properties>
</file>